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906D" w14:textId="648D9421" w:rsidR="000E1767" w:rsidRPr="000E1767" w:rsidRDefault="000E1767">
      <w:pPr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C239276" wp14:editId="5208FFF7">
            <wp:simplePos x="0" y="0"/>
            <wp:positionH relativeFrom="column">
              <wp:posOffset>4196080</wp:posOffset>
            </wp:positionH>
            <wp:positionV relativeFrom="paragraph">
              <wp:posOffset>-594994</wp:posOffset>
            </wp:positionV>
            <wp:extent cx="2179320" cy="856718"/>
            <wp:effectExtent l="0" t="0" r="0" b="635"/>
            <wp:wrapNone/>
            <wp:docPr id="1321180447" name="Afbeelding 1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180447" name="Afbeelding 1" descr="Afbeelding met tekst, Lettertype, Graphics, grafische vormgeving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250" cy="859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767">
        <w:rPr>
          <w:rFonts w:asciiTheme="majorHAnsi" w:hAnsiTheme="majorHAnsi" w:cstheme="majorHAnsi"/>
          <w:b/>
          <w:bCs/>
          <w:sz w:val="40"/>
          <w:szCs w:val="40"/>
        </w:rPr>
        <w:t>Notulen vergadering</w:t>
      </w:r>
      <w:r w:rsidR="00A3015F">
        <w:rPr>
          <w:rFonts w:asciiTheme="majorHAnsi" w:hAnsiTheme="majorHAnsi" w:cstheme="majorHAnsi"/>
          <w:b/>
          <w:bCs/>
          <w:sz w:val="40"/>
          <w:szCs w:val="40"/>
        </w:rPr>
        <w:t xml:space="preserve"> OC</w:t>
      </w:r>
      <w:r w:rsidRPr="000E1767">
        <w:rPr>
          <w:rFonts w:asciiTheme="majorHAnsi" w:hAnsiTheme="majorHAnsi" w:cstheme="majorHAnsi"/>
          <w:b/>
          <w:bCs/>
          <w:sz w:val="40"/>
          <w:szCs w:val="40"/>
        </w:rPr>
        <w:t xml:space="preserve"> – De kleine Tol </w:t>
      </w:r>
    </w:p>
    <w:p w14:paraId="7A348DA7" w14:textId="3D150E65" w:rsidR="000E1767" w:rsidRDefault="000E176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Aanwezig: </w:t>
      </w:r>
      <w:r w:rsidR="00A3015F">
        <w:rPr>
          <w:rFonts w:asciiTheme="majorHAnsi" w:hAnsiTheme="majorHAnsi" w:cstheme="majorHAnsi"/>
          <w:b/>
          <w:bCs/>
        </w:rPr>
        <w:t>Annemiek</w:t>
      </w:r>
      <w:r w:rsidR="00AC5734">
        <w:rPr>
          <w:rFonts w:asciiTheme="majorHAnsi" w:hAnsiTheme="majorHAnsi" w:cstheme="majorHAnsi"/>
          <w:b/>
          <w:bCs/>
        </w:rPr>
        <w:t>e</w:t>
      </w:r>
      <w:r w:rsidR="00A3015F">
        <w:rPr>
          <w:rFonts w:asciiTheme="majorHAnsi" w:hAnsiTheme="majorHAnsi" w:cstheme="majorHAnsi"/>
          <w:b/>
          <w:bCs/>
        </w:rPr>
        <w:t>, Eline</w:t>
      </w:r>
      <w:r w:rsidR="007524CF">
        <w:rPr>
          <w:rFonts w:asciiTheme="majorHAnsi" w:hAnsiTheme="majorHAnsi" w:cstheme="majorHAnsi"/>
          <w:b/>
          <w:bCs/>
        </w:rPr>
        <w:t>,</w:t>
      </w:r>
      <w:r w:rsidR="00A3015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7524CF">
        <w:rPr>
          <w:rFonts w:asciiTheme="majorHAnsi" w:hAnsiTheme="majorHAnsi" w:cstheme="majorHAnsi"/>
          <w:b/>
          <w:bCs/>
        </w:rPr>
        <w:t>Talitha</w:t>
      </w:r>
      <w:proofErr w:type="spellEnd"/>
      <w:r w:rsidR="007524CF">
        <w:rPr>
          <w:rFonts w:asciiTheme="majorHAnsi" w:hAnsiTheme="majorHAnsi" w:cstheme="majorHAnsi"/>
          <w:b/>
          <w:bCs/>
        </w:rPr>
        <w:t xml:space="preserve"> </w:t>
      </w:r>
      <w:r w:rsidR="00A3015F">
        <w:rPr>
          <w:rFonts w:asciiTheme="majorHAnsi" w:hAnsiTheme="majorHAnsi" w:cstheme="majorHAnsi"/>
          <w:b/>
          <w:bCs/>
        </w:rPr>
        <w:t>en Jamilla</w:t>
      </w:r>
      <w:r>
        <w:rPr>
          <w:rFonts w:asciiTheme="majorHAnsi" w:hAnsiTheme="majorHAnsi" w:cstheme="majorHAnsi"/>
          <w:b/>
          <w:bCs/>
        </w:rPr>
        <w:t xml:space="preserve"> </w:t>
      </w:r>
    </w:p>
    <w:p w14:paraId="382C0CFC" w14:textId="7DC9846F" w:rsidR="000E1767" w:rsidRDefault="000E176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Afwezig:</w:t>
      </w:r>
      <w:r w:rsidR="00D24382">
        <w:rPr>
          <w:rFonts w:asciiTheme="majorHAnsi" w:hAnsiTheme="majorHAnsi" w:cstheme="majorHAnsi"/>
          <w:b/>
          <w:bCs/>
        </w:rPr>
        <w:t xml:space="preserve"> </w:t>
      </w:r>
    </w:p>
    <w:p w14:paraId="4EBC539F" w14:textId="2FFC9FC4" w:rsidR="000E1767" w:rsidRDefault="000E176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Datum</w:t>
      </w:r>
      <w:r w:rsidR="00D77A43">
        <w:rPr>
          <w:rFonts w:asciiTheme="majorHAnsi" w:hAnsiTheme="majorHAnsi" w:cstheme="majorHAnsi"/>
          <w:b/>
          <w:bCs/>
        </w:rPr>
        <w:t>:23-10-2025</w:t>
      </w:r>
    </w:p>
    <w:p w14:paraId="57087FE4" w14:textId="534DAB05" w:rsidR="000E1767" w:rsidRDefault="000E176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__________________________________________________________________________________</w:t>
      </w:r>
    </w:p>
    <w:p w14:paraId="06EE6954" w14:textId="19CD7600" w:rsidR="0024510D" w:rsidRPr="000E1767" w:rsidRDefault="000E1767">
      <w:pPr>
        <w:rPr>
          <w:rFonts w:asciiTheme="majorHAnsi" w:hAnsiTheme="majorHAnsi" w:cstheme="majorHAnsi"/>
        </w:rPr>
      </w:pPr>
      <w:r w:rsidRPr="000E1767">
        <w:rPr>
          <w:rFonts w:asciiTheme="majorHAnsi" w:hAnsiTheme="majorHAnsi" w:cstheme="majorHAnsi"/>
          <w:b/>
          <w:bCs/>
        </w:rPr>
        <w:t>M</w:t>
      </w:r>
      <w:r w:rsidRPr="000E1767">
        <w:rPr>
          <w:rFonts w:asciiTheme="majorHAnsi" w:hAnsiTheme="majorHAnsi" w:cstheme="majorHAnsi"/>
        </w:rPr>
        <w:t>ededeling</w:t>
      </w:r>
    </w:p>
    <w:p w14:paraId="6FEF5AA6" w14:textId="1C184873" w:rsidR="000E1767" w:rsidRPr="000E1767" w:rsidRDefault="000E1767">
      <w:pPr>
        <w:rPr>
          <w:rFonts w:asciiTheme="majorHAnsi" w:hAnsiTheme="majorHAnsi" w:cstheme="majorHAnsi"/>
        </w:rPr>
      </w:pPr>
      <w:r w:rsidRPr="000E1767">
        <w:rPr>
          <w:rFonts w:asciiTheme="majorHAnsi" w:hAnsiTheme="majorHAnsi" w:cstheme="majorHAnsi"/>
          <w:b/>
          <w:bCs/>
        </w:rPr>
        <w:t>B</w:t>
      </w:r>
      <w:r w:rsidRPr="000E1767">
        <w:rPr>
          <w:rFonts w:asciiTheme="majorHAnsi" w:hAnsiTheme="majorHAnsi" w:cstheme="majorHAnsi"/>
        </w:rPr>
        <w:t>esluit</w:t>
      </w:r>
    </w:p>
    <w:p w14:paraId="6F092AA9" w14:textId="048669CD" w:rsidR="000E1767" w:rsidRDefault="000E1767">
      <w:pPr>
        <w:rPr>
          <w:rFonts w:asciiTheme="majorHAnsi" w:hAnsiTheme="majorHAnsi" w:cstheme="majorHAnsi"/>
        </w:rPr>
      </w:pPr>
      <w:r w:rsidRPr="000E1767">
        <w:rPr>
          <w:rFonts w:asciiTheme="majorHAnsi" w:hAnsiTheme="majorHAnsi" w:cstheme="majorHAnsi"/>
          <w:b/>
          <w:bCs/>
        </w:rPr>
        <w:t>A</w:t>
      </w:r>
      <w:r w:rsidRPr="000E1767">
        <w:rPr>
          <w:rFonts w:asciiTheme="majorHAnsi" w:hAnsiTheme="majorHAnsi" w:cstheme="majorHAnsi"/>
        </w:rPr>
        <w:t xml:space="preserve">ctie </w:t>
      </w:r>
    </w:p>
    <w:tbl>
      <w:tblPr>
        <w:tblStyle w:val="Tabelraster"/>
        <w:tblW w:w="9064" w:type="dxa"/>
        <w:tblLook w:val="04A0" w:firstRow="1" w:lastRow="0" w:firstColumn="1" w:lastColumn="0" w:noHBand="0" w:noVBand="1"/>
      </w:tblPr>
      <w:tblGrid>
        <w:gridCol w:w="4883"/>
        <w:gridCol w:w="1534"/>
        <w:gridCol w:w="1499"/>
        <w:gridCol w:w="402"/>
        <w:gridCol w:w="334"/>
        <w:gridCol w:w="412"/>
      </w:tblGrid>
      <w:tr w:rsidR="000E1767" w:rsidRPr="000E1767" w14:paraId="5953EF43" w14:textId="77777777" w:rsidTr="00467073">
        <w:tc>
          <w:tcPr>
            <w:tcW w:w="4883" w:type="dxa"/>
            <w:shd w:val="clear" w:color="auto" w:fill="F7CAAC" w:themeFill="accent2" w:themeFillTint="66"/>
          </w:tcPr>
          <w:p w14:paraId="77A7513A" w14:textId="77777777" w:rsidR="000E1767" w:rsidRPr="000E1767" w:rsidRDefault="000E176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34" w:type="dxa"/>
            <w:shd w:val="clear" w:color="auto" w:fill="F7CAAC" w:themeFill="accent2" w:themeFillTint="66"/>
          </w:tcPr>
          <w:p w14:paraId="68E42636" w14:textId="623D85A7" w:rsidR="000E1767" w:rsidRPr="000E1767" w:rsidRDefault="000E1767">
            <w:pPr>
              <w:rPr>
                <w:rFonts w:asciiTheme="majorHAnsi" w:hAnsiTheme="majorHAnsi" w:cstheme="majorHAnsi"/>
                <w:b/>
                <w:bCs/>
              </w:rPr>
            </w:pPr>
            <w:r w:rsidRPr="000E1767">
              <w:rPr>
                <w:rFonts w:asciiTheme="majorHAnsi" w:hAnsiTheme="majorHAnsi" w:cstheme="majorHAnsi"/>
                <w:b/>
                <w:bCs/>
              </w:rPr>
              <w:t xml:space="preserve">Door wie </w:t>
            </w:r>
          </w:p>
        </w:tc>
        <w:tc>
          <w:tcPr>
            <w:tcW w:w="1499" w:type="dxa"/>
            <w:shd w:val="clear" w:color="auto" w:fill="F7CAAC" w:themeFill="accent2" w:themeFillTint="66"/>
          </w:tcPr>
          <w:p w14:paraId="139AE779" w14:textId="0E19FCEC" w:rsidR="000E1767" w:rsidRPr="000E1767" w:rsidRDefault="000E1767">
            <w:pPr>
              <w:rPr>
                <w:rFonts w:asciiTheme="majorHAnsi" w:hAnsiTheme="majorHAnsi" w:cstheme="majorHAnsi"/>
                <w:b/>
                <w:bCs/>
              </w:rPr>
            </w:pPr>
            <w:r w:rsidRPr="000E1767">
              <w:rPr>
                <w:rFonts w:asciiTheme="majorHAnsi" w:hAnsiTheme="majorHAnsi" w:cstheme="majorHAnsi"/>
                <w:b/>
                <w:bCs/>
              </w:rPr>
              <w:t xml:space="preserve">Voor wie </w:t>
            </w:r>
          </w:p>
        </w:tc>
        <w:tc>
          <w:tcPr>
            <w:tcW w:w="402" w:type="dxa"/>
            <w:shd w:val="clear" w:color="auto" w:fill="F7CAAC" w:themeFill="accent2" w:themeFillTint="66"/>
          </w:tcPr>
          <w:p w14:paraId="38AEB81E" w14:textId="69F3BB58" w:rsidR="000E1767" w:rsidRPr="000E1767" w:rsidRDefault="000E1767">
            <w:pPr>
              <w:rPr>
                <w:rFonts w:asciiTheme="majorHAnsi" w:hAnsiTheme="majorHAnsi" w:cstheme="majorHAnsi"/>
                <w:b/>
                <w:bCs/>
              </w:rPr>
            </w:pPr>
            <w:r w:rsidRPr="000E1767">
              <w:rPr>
                <w:rFonts w:asciiTheme="majorHAnsi" w:hAnsiTheme="majorHAnsi" w:cstheme="majorHAnsi"/>
                <w:b/>
                <w:bCs/>
              </w:rPr>
              <w:t>M</w:t>
            </w:r>
          </w:p>
        </w:tc>
        <w:tc>
          <w:tcPr>
            <w:tcW w:w="334" w:type="dxa"/>
            <w:shd w:val="clear" w:color="auto" w:fill="F7CAAC" w:themeFill="accent2" w:themeFillTint="66"/>
          </w:tcPr>
          <w:p w14:paraId="21DA225A" w14:textId="75C08586" w:rsidR="000E1767" w:rsidRPr="000E1767" w:rsidRDefault="000E1767">
            <w:pPr>
              <w:rPr>
                <w:rFonts w:asciiTheme="majorHAnsi" w:hAnsiTheme="majorHAnsi" w:cstheme="majorHAnsi"/>
                <w:b/>
                <w:bCs/>
              </w:rPr>
            </w:pPr>
            <w:r w:rsidRPr="000E1767">
              <w:rPr>
                <w:rFonts w:asciiTheme="majorHAnsi" w:hAnsiTheme="majorHAnsi" w:cstheme="majorHAnsi"/>
                <w:b/>
                <w:bCs/>
              </w:rPr>
              <w:t>B</w:t>
            </w:r>
          </w:p>
        </w:tc>
        <w:tc>
          <w:tcPr>
            <w:tcW w:w="412" w:type="dxa"/>
            <w:shd w:val="clear" w:color="auto" w:fill="F7CAAC" w:themeFill="accent2" w:themeFillTint="66"/>
          </w:tcPr>
          <w:p w14:paraId="4864AD2A" w14:textId="0F08F7FD" w:rsidR="000E1767" w:rsidRPr="000E1767" w:rsidRDefault="000E1767">
            <w:pPr>
              <w:rPr>
                <w:rFonts w:asciiTheme="majorHAnsi" w:hAnsiTheme="majorHAnsi" w:cstheme="majorHAnsi"/>
                <w:b/>
                <w:bCs/>
              </w:rPr>
            </w:pPr>
            <w:r w:rsidRPr="000E1767">
              <w:rPr>
                <w:rFonts w:asciiTheme="majorHAnsi" w:hAnsiTheme="majorHAnsi" w:cstheme="majorHAnsi"/>
                <w:b/>
                <w:bCs/>
              </w:rPr>
              <w:t>A</w:t>
            </w:r>
          </w:p>
        </w:tc>
      </w:tr>
      <w:tr w:rsidR="00D77A43" w:rsidRPr="000E1767" w14:paraId="08A8AEE8" w14:textId="77777777" w:rsidTr="00D77A43">
        <w:tc>
          <w:tcPr>
            <w:tcW w:w="4883" w:type="dxa"/>
          </w:tcPr>
          <w:p w14:paraId="1BE9D73A" w14:textId="77777777" w:rsidR="00D77A43" w:rsidRDefault="00D77A4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Tarieven: </w:t>
            </w:r>
          </w:p>
          <w:p w14:paraId="461FA8DC" w14:textId="66E915DC" w:rsidR="00D77A43" w:rsidRPr="00293E00" w:rsidRDefault="00D77A43">
            <w:pPr>
              <w:rPr>
                <w:rFonts w:asciiTheme="majorHAnsi" w:hAnsiTheme="majorHAnsi" w:cstheme="majorHAnsi"/>
              </w:rPr>
            </w:pPr>
            <w:r w:rsidRPr="00293E00">
              <w:rPr>
                <w:rFonts w:asciiTheme="majorHAnsi" w:hAnsiTheme="majorHAnsi" w:cstheme="majorHAnsi"/>
              </w:rPr>
              <w:t xml:space="preserve">De oudercommissie heeft akkoord gegeven op de nieuwe tarieven van 2026. De tarieven gaan €11.23. </w:t>
            </w:r>
            <w:r w:rsidR="00293E00" w:rsidRPr="00293E00">
              <w:rPr>
                <w:rFonts w:asciiTheme="majorHAnsi" w:hAnsiTheme="majorHAnsi" w:cstheme="majorHAnsi"/>
              </w:rPr>
              <w:t>Het</w:t>
            </w:r>
            <w:r w:rsidRPr="00293E00">
              <w:rPr>
                <w:rFonts w:asciiTheme="majorHAnsi" w:hAnsiTheme="majorHAnsi" w:cstheme="majorHAnsi"/>
              </w:rPr>
              <w:t xml:space="preserve"> uitgangspunt van Jamilla is vooral om kinderopvang toegankelijk te houden. </w:t>
            </w:r>
          </w:p>
          <w:p w14:paraId="0C78CDDF" w14:textId="77777777" w:rsidR="00293E00" w:rsidRPr="00293E00" w:rsidRDefault="00293E00">
            <w:pPr>
              <w:rPr>
                <w:rFonts w:asciiTheme="majorHAnsi" w:hAnsiTheme="majorHAnsi" w:cstheme="majorHAnsi"/>
              </w:rPr>
            </w:pPr>
          </w:p>
          <w:p w14:paraId="3B5DB83E" w14:textId="1EEED63D" w:rsidR="00293E00" w:rsidRPr="000E1767" w:rsidRDefault="00293E00">
            <w:pPr>
              <w:rPr>
                <w:rFonts w:asciiTheme="majorHAnsi" w:hAnsiTheme="majorHAnsi" w:cstheme="majorHAnsi"/>
                <w:b/>
                <w:bCs/>
              </w:rPr>
            </w:pPr>
            <w:r w:rsidRPr="00293E00">
              <w:rPr>
                <w:rFonts w:asciiTheme="majorHAnsi" w:hAnsiTheme="majorHAnsi" w:cstheme="majorHAnsi"/>
              </w:rPr>
              <w:t xml:space="preserve">De oudercommissie heeft akkoord gegeven door een handtekening </w:t>
            </w:r>
            <w:r w:rsidR="00F25BB0">
              <w:rPr>
                <w:rFonts w:asciiTheme="majorHAnsi" w:hAnsiTheme="majorHAnsi" w:cstheme="majorHAnsi"/>
              </w:rPr>
              <w:t>te zetten</w:t>
            </w:r>
            <w:r w:rsidRPr="00293E00">
              <w:rPr>
                <w:rFonts w:asciiTheme="majorHAnsi" w:hAnsiTheme="majorHAnsi" w:cstheme="majorHAnsi"/>
              </w:rPr>
              <w:t xml:space="preserve"> onder de brief die naar ouders gaat.</w:t>
            </w:r>
          </w:p>
        </w:tc>
        <w:tc>
          <w:tcPr>
            <w:tcW w:w="1534" w:type="dxa"/>
          </w:tcPr>
          <w:p w14:paraId="1571F7B8" w14:textId="2C4C4E65" w:rsidR="00D77A43" w:rsidRPr="000E1767" w:rsidRDefault="005C40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Jamilla</w:t>
            </w:r>
          </w:p>
        </w:tc>
        <w:tc>
          <w:tcPr>
            <w:tcW w:w="1499" w:type="dxa"/>
          </w:tcPr>
          <w:p w14:paraId="50391579" w14:textId="0A554331" w:rsidR="00D77A43" w:rsidRPr="000E1767" w:rsidRDefault="005C40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OC</w:t>
            </w:r>
          </w:p>
        </w:tc>
        <w:tc>
          <w:tcPr>
            <w:tcW w:w="402" w:type="dxa"/>
          </w:tcPr>
          <w:p w14:paraId="38F9B5AC" w14:textId="77777777" w:rsidR="00D77A43" w:rsidRPr="000E1767" w:rsidRDefault="00D77A4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34" w:type="dxa"/>
          </w:tcPr>
          <w:p w14:paraId="5EBB64D8" w14:textId="03FF5F82" w:rsidR="00D77A43" w:rsidRPr="000E1767" w:rsidRDefault="005C403B">
            <w:pPr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x</w:t>
            </w:r>
            <w:proofErr w:type="gramEnd"/>
          </w:p>
        </w:tc>
        <w:tc>
          <w:tcPr>
            <w:tcW w:w="412" w:type="dxa"/>
          </w:tcPr>
          <w:p w14:paraId="561898BF" w14:textId="77777777" w:rsidR="00D77A43" w:rsidRPr="000E1767" w:rsidRDefault="00D77A4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77A43" w:rsidRPr="000E1767" w14:paraId="642B3CFE" w14:textId="77777777" w:rsidTr="00D77A43">
        <w:tc>
          <w:tcPr>
            <w:tcW w:w="4883" w:type="dxa"/>
          </w:tcPr>
          <w:p w14:paraId="72538110" w14:textId="77777777" w:rsidR="00D77A43" w:rsidRDefault="00B1568A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Ruilbeleid:</w:t>
            </w:r>
          </w:p>
          <w:p w14:paraId="6E948C6A" w14:textId="77B2634D" w:rsidR="00B1568A" w:rsidRPr="00B1568A" w:rsidRDefault="00F46E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Wij hebben met elkaar besproken of dit beleid nog steeds passend is. </w:t>
            </w:r>
            <w:r w:rsidR="00B1568A">
              <w:rPr>
                <w:rFonts w:asciiTheme="majorHAnsi" w:hAnsiTheme="majorHAnsi" w:cstheme="majorHAnsi"/>
              </w:rPr>
              <w:t xml:space="preserve">Het ruilbeleid is hetzelfde als 2025. </w:t>
            </w:r>
            <w:r w:rsidR="00FC0A4E">
              <w:rPr>
                <w:rFonts w:asciiTheme="majorHAnsi" w:hAnsiTheme="majorHAnsi" w:cstheme="majorHAnsi"/>
              </w:rPr>
              <w:t xml:space="preserve">Hier zijn geen aanpassingen voor gedaan. </w:t>
            </w:r>
          </w:p>
        </w:tc>
        <w:tc>
          <w:tcPr>
            <w:tcW w:w="1534" w:type="dxa"/>
          </w:tcPr>
          <w:p w14:paraId="53DBC035" w14:textId="5B6821BB" w:rsidR="00D77A43" w:rsidRPr="000E1767" w:rsidRDefault="005C40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Jamilla </w:t>
            </w:r>
          </w:p>
        </w:tc>
        <w:tc>
          <w:tcPr>
            <w:tcW w:w="1499" w:type="dxa"/>
          </w:tcPr>
          <w:p w14:paraId="30699B47" w14:textId="4E19EB27" w:rsidR="00D77A43" w:rsidRPr="000E1767" w:rsidRDefault="005C40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OC</w:t>
            </w:r>
          </w:p>
        </w:tc>
        <w:tc>
          <w:tcPr>
            <w:tcW w:w="402" w:type="dxa"/>
          </w:tcPr>
          <w:p w14:paraId="5E76CD74" w14:textId="77777777" w:rsidR="00D77A43" w:rsidRPr="000E1767" w:rsidRDefault="00D77A4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34" w:type="dxa"/>
          </w:tcPr>
          <w:p w14:paraId="0EB4D31B" w14:textId="76FFB43F" w:rsidR="00D77A43" w:rsidRPr="000E1767" w:rsidRDefault="005C403B">
            <w:pPr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x</w:t>
            </w:r>
            <w:proofErr w:type="gramEnd"/>
          </w:p>
        </w:tc>
        <w:tc>
          <w:tcPr>
            <w:tcW w:w="412" w:type="dxa"/>
          </w:tcPr>
          <w:p w14:paraId="4A135EDE" w14:textId="77777777" w:rsidR="00D77A43" w:rsidRPr="000E1767" w:rsidRDefault="00D77A4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77A43" w:rsidRPr="000E1767" w14:paraId="7C293C5B" w14:textId="77777777" w:rsidTr="00D77A43">
        <w:tc>
          <w:tcPr>
            <w:tcW w:w="4883" w:type="dxa"/>
          </w:tcPr>
          <w:p w14:paraId="6781FEDD" w14:textId="77777777" w:rsidR="00D77A43" w:rsidRDefault="00F46E0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Nieuw OC lid</w:t>
            </w:r>
          </w:p>
          <w:p w14:paraId="34333551" w14:textId="7C8A25F2" w:rsidR="00F46E03" w:rsidRPr="00F46E03" w:rsidRDefault="00F46E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Volgend jaar komt er een plekje vrij in de oudercommissie. Wij hebben alvast ruim op tijd overlegd hoe we de werving gaan doen. </w:t>
            </w:r>
            <w:r w:rsidR="00F25BB0">
              <w:rPr>
                <w:rFonts w:asciiTheme="majorHAnsi" w:hAnsiTheme="majorHAnsi" w:cstheme="majorHAnsi"/>
              </w:rPr>
              <w:t>In</w:t>
            </w:r>
            <w:r>
              <w:rPr>
                <w:rFonts w:asciiTheme="majorHAnsi" w:hAnsiTheme="majorHAnsi" w:cstheme="majorHAnsi"/>
              </w:rPr>
              <w:t xml:space="preserve"> januari start de nieuwe werving van een OC-lid. Ouders krijgen tegen die tijd een berichtje op de mail zodat ze kunnen reageren. </w:t>
            </w:r>
            <w:r w:rsidR="00D2145C">
              <w:rPr>
                <w:rFonts w:asciiTheme="majorHAnsi" w:hAnsiTheme="majorHAnsi" w:cstheme="majorHAnsi"/>
              </w:rPr>
              <w:t xml:space="preserve">De eerstvolgende vergadering kan de nieuwe ouder dan meedraaien. </w:t>
            </w:r>
          </w:p>
        </w:tc>
        <w:tc>
          <w:tcPr>
            <w:tcW w:w="1534" w:type="dxa"/>
          </w:tcPr>
          <w:p w14:paraId="2B912384" w14:textId="7FEAE3E1" w:rsidR="00D77A43" w:rsidRPr="000E1767" w:rsidRDefault="005C40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Jamilla</w:t>
            </w:r>
          </w:p>
        </w:tc>
        <w:tc>
          <w:tcPr>
            <w:tcW w:w="1499" w:type="dxa"/>
          </w:tcPr>
          <w:p w14:paraId="7A0C568B" w14:textId="1F904E4C" w:rsidR="00D77A43" w:rsidRPr="000E1767" w:rsidRDefault="005C40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OV</w:t>
            </w:r>
          </w:p>
        </w:tc>
        <w:tc>
          <w:tcPr>
            <w:tcW w:w="402" w:type="dxa"/>
          </w:tcPr>
          <w:p w14:paraId="4660F94C" w14:textId="77777777" w:rsidR="00D77A43" w:rsidRPr="000E1767" w:rsidRDefault="00D77A4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34" w:type="dxa"/>
          </w:tcPr>
          <w:p w14:paraId="1148BA8B" w14:textId="77777777" w:rsidR="00D77A43" w:rsidRPr="000E1767" w:rsidRDefault="00D77A4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" w:type="dxa"/>
          </w:tcPr>
          <w:p w14:paraId="2E29297C" w14:textId="4AB2D3AA" w:rsidR="00D77A43" w:rsidRPr="000E1767" w:rsidRDefault="005C403B">
            <w:pPr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x</w:t>
            </w:r>
            <w:proofErr w:type="gramEnd"/>
          </w:p>
        </w:tc>
      </w:tr>
      <w:tr w:rsidR="00D77A43" w:rsidRPr="000E1767" w14:paraId="3FCB631E" w14:textId="77777777" w:rsidTr="00D77A43">
        <w:tc>
          <w:tcPr>
            <w:tcW w:w="4883" w:type="dxa"/>
          </w:tcPr>
          <w:p w14:paraId="3E2A0D21" w14:textId="77777777" w:rsidR="00D77A43" w:rsidRDefault="00D2145C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Nieuwe vergaderdatums:</w:t>
            </w:r>
          </w:p>
          <w:p w14:paraId="2A245296" w14:textId="77FB3E11" w:rsidR="00D2145C" w:rsidRPr="005C403B" w:rsidRDefault="005C403B">
            <w:pPr>
              <w:rPr>
                <w:rFonts w:asciiTheme="majorHAnsi" w:hAnsiTheme="majorHAnsi" w:cstheme="majorHAnsi"/>
              </w:rPr>
            </w:pPr>
            <w:r w:rsidRPr="005C403B">
              <w:rPr>
                <w:rFonts w:asciiTheme="majorHAnsi" w:hAnsiTheme="majorHAnsi" w:cstheme="majorHAnsi"/>
              </w:rPr>
              <w:t>23 april OC-vergadering 20.00 uur</w:t>
            </w:r>
          </w:p>
          <w:p w14:paraId="11373600" w14:textId="599A91F4" w:rsidR="005C403B" w:rsidRPr="000E1767" w:rsidRDefault="005C403B">
            <w:pPr>
              <w:rPr>
                <w:rFonts w:asciiTheme="majorHAnsi" w:hAnsiTheme="majorHAnsi" w:cstheme="majorHAnsi"/>
                <w:b/>
                <w:bCs/>
              </w:rPr>
            </w:pPr>
            <w:r w:rsidRPr="005C403B">
              <w:rPr>
                <w:rFonts w:asciiTheme="majorHAnsi" w:hAnsiTheme="majorHAnsi" w:cstheme="majorHAnsi"/>
              </w:rPr>
              <w:t>22 oktober OC-vergadering 20.00 uur</w:t>
            </w:r>
          </w:p>
        </w:tc>
        <w:tc>
          <w:tcPr>
            <w:tcW w:w="1534" w:type="dxa"/>
          </w:tcPr>
          <w:p w14:paraId="0E1F615D" w14:textId="4D6839E1" w:rsidR="00D77A43" w:rsidRPr="000E1767" w:rsidRDefault="005C40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Jamilla</w:t>
            </w:r>
          </w:p>
        </w:tc>
        <w:tc>
          <w:tcPr>
            <w:tcW w:w="1499" w:type="dxa"/>
          </w:tcPr>
          <w:p w14:paraId="64E6EB93" w14:textId="25F31CA1" w:rsidR="00D77A43" w:rsidRPr="000E1767" w:rsidRDefault="005C40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OC</w:t>
            </w:r>
          </w:p>
        </w:tc>
        <w:tc>
          <w:tcPr>
            <w:tcW w:w="402" w:type="dxa"/>
          </w:tcPr>
          <w:p w14:paraId="09E8487D" w14:textId="77777777" w:rsidR="00D77A43" w:rsidRPr="000E1767" w:rsidRDefault="00D77A4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34" w:type="dxa"/>
          </w:tcPr>
          <w:p w14:paraId="2F318DF9" w14:textId="7E188A74" w:rsidR="00D77A43" w:rsidRPr="000E1767" w:rsidRDefault="005C403B">
            <w:pPr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x</w:t>
            </w:r>
            <w:proofErr w:type="gramEnd"/>
          </w:p>
        </w:tc>
        <w:tc>
          <w:tcPr>
            <w:tcW w:w="412" w:type="dxa"/>
          </w:tcPr>
          <w:p w14:paraId="1B204387" w14:textId="77777777" w:rsidR="00D77A43" w:rsidRPr="000E1767" w:rsidRDefault="00D77A4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77A43" w:rsidRPr="000E1767" w14:paraId="1E91F669" w14:textId="77777777" w:rsidTr="00D77A43">
        <w:tc>
          <w:tcPr>
            <w:tcW w:w="4883" w:type="dxa"/>
          </w:tcPr>
          <w:p w14:paraId="5CFFD259" w14:textId="77777777" w:rsidR="00D77A43" w:rsidRPr="000E1767" w:rsidRDefault="00D77A4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34" w:type="dxa"/>
          </w:tcPr>
          <w:p w14:paraId="5D358B41" w14:textId="77777777" w:rsidR="00D77A43" w:rsidRPr="000E1767" w:rsidRDefault="00D77A4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499" w:type="dxa"/>
          </w:tcPr>
          <w:p w14:paraId="6A2C1E2B" w14:textId="77777777" w:rsidR="00D77A43" w:rsidRPr="000E1767" w:rsidRDefault="00D77A4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02" w:type="dxa"/>
          </w:tcPr>
          <w:p w14:paraId="398E447E" w14:textId="77777777" w:rsidR="00D77A43" w:rsidRPr="000E1767" w:rsidRDefault="00D77A4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34" w:type="dxa"/>
          </w:tcPr>
          <w:p w14:paraId="21E66CB1" w14:textId="77777777" w:rsidR="00D77A43" w:rsidRPr="000E1767" w:rsidRDefault="00D77A4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" w:type="dxa"/>
          </w:tcPr>
          <w:p w14:paraId="1FE490C1" w14:textId="77777777" w:rsidR="00D77A43" w:rsidRPr="000E1767" w:rsidRDefault="00D77A4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CC8DF4C" w14:textId="70E17E30" w:rsidR="003C303E" w:rsidRPr="000E1767" w:rsidRDefault="003C303E">
      <w:pPr>
        <w:rPr>
          <w:rFonts w:asciiTheme="majorHAnsi" w:hAnsiTheme="majorHAnsi" w:cstheme="majorHAnsi"/>
        </w:rPr>
      </w:pPr>
    </w:p>
    <w:sectPr w:rsidR="003C303E" w:rsidRPr="000E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405"/>
    <w:multiLevelType w:val="hybridMultilevel"/>
    <w:tmpl w:val="4E0455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42292"/>
    <w:multiLevelType w:val="hybridMultilevel"/>
    <w:tmpl w:val="F9246AD2"/>
    <w:lvl w:ilvl="0" w:tplc="93A6F114">
      <w:start w:val="1"/>
      <w:numFmt w:val="bullet"/>
      <w:lvlText w:val="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82FBE0">
      <w:start w:val="1"/>
      <w:numFmt w:val="bullet"/>
      <w:lvlText w:val="o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889F94">
      <w:start w:val="1"/>
      <w:numFmt w:val="bullet"/>
      <w:lvlText w:val="▪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0C816">
      <w:start w:val="1"/>
      <w:numFmt w:val="bullet"/>
      <w:lvlText w:val="•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62500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D67A2E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A0C28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C06208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B856C8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700CB5"/>
    <w:multiLevelType w:val="hybridMultilevel"/>
    <w:tmpl w:val="14EE3A80"/>
    <w:lvl w:ilvl="0" w:tplc="CDDCE7E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A2161"/>
    <w:multiLevelType w:val="hybridMultilevel"/>
    <w:tmpl w:val="273ECDDC"/>
    <w:lvl w:ilvl="0" w:tplc="B93E094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526E3"/>
    <w:multiLevelType w:val="hybridMultilevel"/>
    <w:tmpl w:val="623E42FE"/>
    <w:lvl w:ilvl="0" w:tplc="42E80EC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223624">
    <w:abstractNumId w:val="0"/>
  </w:num>
  <w:num w:numId="2" w16cid:durableId="477036776">
    <w:abstractNumId w:val="1"/>
  </w:num>
  <w:num w:numId="3" w16cid:durableId="123619711">
    <w:abstractNumId w:val="3"/>
  </w:num>
  <w:num w:numId="4" w16cid:durableId="460391210">
    <w:abstractNumId w:val="4"/>
  </w:num>
  <w:num w:numId="5" w16cid:durableId="703990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67"/>
    <w:rsid w:val="00094D48"/>
    <w:rsid w:val="000C619D"/>
    <w:rsid w:val="000E1767"/>
    <w:rsid w:val="000F5FA9"/>
    <w:rsid w:val="0011671F"/>
    <w:rsid w:val="00181E4E"/>
    <w:rsid w:val="00214A5C"/>
    <w:rsid w:val="002232A7"/>
    <w:rsid w:val="0023269F"/>
    <w:rsid w:val="0024510D"/>
    <w:rsid w:val="00293E00"/>
    <w:rsid w:val="002F2752"/>
    <w:rsid w:val="003977A4"/>
    <w:rsid w:val="003C303E"/>
    <w:rsid w:val="003E4818"/>
    <w:rsid w:val="004402DA"/>
    <w:rsid w:val="00457321"/>
    <w:rsid w:val="00467073"/>
    <w:rsid w:val="004A4AFF"/>
    <w:rsid w:val="005C403B"/>
    <w:rsid w:val="005D77C3"/>
    <w:rsid w:val="005F0520"/>
    <w:rsid w:val="005F3E2B"/>
    <w:rsid w:val="006324EB"/>
    <w:rsid w:val="00667F3C"/>
    <w:rsid w:val="006A009D"/>
    <w:rsid w:val="006F55BF"/>
    <w:rsid w:val="00744BBC"/>
    <w:rsid w:val="007524CF"/>
    <w:rsid w:val="0084149E"/>
    <w:rsid w:val="00866514"/>
    <w:rsid w:val="0096616E"/>
    <w:rsid w:val="009C5DA4"/>
    <w:rsid w:val="009F3FA9"/>
    <w:rsid w:val="00A01F65"/>
    <w:rsid w:val="00A3015F"/>
    <w:rsid w:val="00A82728"/>
    <w:rsid w:val="00AB0113"/>
    <w:rsid w:val="00AC5734"/>
    <w:rsid w:val="00AD334A"/>
    <w:rsid w:val="00AE6F34"/>
    <w:rsid w:val="00AF7B10"/>
    <w:rsid w:val="00B1568A"/>
    <w:rsid w:val="00B16945"/>
    <w:rsid w:val="00B56E64"/>
    <w:rsid w:val="00B94207"/>
    <w:rsid w:val="00BE6F27"/>
    <w:rsid w:val="00C26A44"/>
    <w:rsid w:val="00C91D46"/>
    <w:rsid w:val="00D019B6"/>
    <w:rsid w:val="00D2145C"/>
    <w:rsid w:val="00D24382"/>
    <w:rsid w:val="00D556C6"/>
    <w:rsid w:val="00D72B28"/>
    <w:rsid w:val="00D77A43"/>
    <w:rsid w:val="00D91390"/>
    <w:rsid w:val="00DE21E3"/>
    <w:rsid w:val="00E22E5E"/>
    <w:rsid w:val="00E26599"/>
    <w:rsid w:val="00E772D8"/>
    <w:rsid w:val="00EA4067"/>
    <w:rsid w:val="00EA40E3"/>
    <w:rsid w:val="00EC0B7C"/>
    <w:rsid w:val="00F143CA"/>
    <w:rsid w:val="00F25BB0"/>
    <w:rsid w:val="00F46E03"/>
    <w:rsid w:val="00F82571"/>
    <w:rsid w:val="00FC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4E0E"/>
  <w15:chartTrackingRefBased/>
  <w15:docId w15:val="{23675DD9-A4DA-4DB1-8A2D-E1AED208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C30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E1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E1767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3C303E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3C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A30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0937-DCC0-46E0-9C5C-B3007C5D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De Kleine Tol</dc:creator>
  <cp:keywords/>
  <dc:description/>
  <cp:lastModifiedBy>Info | De Kleine Tol</cp:lastModifiedBy>
  <cp:revision>2</cp:revision>
  <dcterms:created xsi:type="dcterms:W3CDTF">2025-11-27T13:13:00Z</dcterms:created>
  <dcterms:modified xsi:type="dcterms:W3CDTF">2025-11-27T13:13:00Z</dcterms:modified>
</cp:coreProperties>
</file>